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6B120C5" Type="http://schemas.openxmlformats.org/officeDocument/2006/relationships/officeDocument" Target="/word/document.xml" /><Relationship Id="coreR26B120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12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aksykabtagenem cyloleucelu albo tisagenlecleucelem w programie lekowym Leczenie chorych na chłoniaki rozlane z dużych komórek B oraz inne chłoniaki B-komórkowe (ICD-10:C83, C85)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aksykabtagenem cyloleucelu albo tisagenlecleucelem chorych na chłoniaki z dużych komórek B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chorych na chłoniaki rozlane z dużych komórek B oraz inne chłoniaki B-komórkowe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7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C83 – chłoniaki nieziarnicze rozlane</w:t>
            </w:r>
          </w:p>
          <w:p>
            <w:pPr>
              <w:jc w:val="left"/>
            </w:pPr>
            <w:r>
              <w:rPr>
                <w:sz w:val="20"/>
              </w:rPr>
              <w:t>C85 – inne i nieokreślone postacie chłoniaków nieziarniczych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1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Zespół Koordynacyjny ds. CAR-T w leczeniu chorych na chłoniaki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5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lekarze specjaliści w dziedzinie hematologii lub onkologii klinicznej, lub chemioterapii nowotworów lub transplantologii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both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kwalifikacja lub weryfikacja skuteczności leczenia dokonywana jest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2022-11-24T10:10:00Z</dcterms:created>
  <cp:lastModifiedBy>Popiołek Tomasz</cp:lastModifiedBy>
  <dcterms:modified xsi:type="dcterms:W3CDTF">2022-12-05T13:53:17Z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